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B52" w:rsidRDefault="006645E7">
      <w:pPr>
        <w:tabs>
          <w:tab w:val="center" w:pos="4536"/>
          <w:tab w:val="right" w:pos="9072"/>
        </w:tabs>
        <w:spacing w:line="240" w:lineRule="auto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Annex No. 3</w:t>
      </w:r>
    </w:p>
    <w:p w:rsidR="00101B52" w:rsidRDefault="00101B52">
      <w:pPr>
        <w:tabs>
          <w:tab w:val="center" w:pos="4536"/>
          <w:tab w:val="right" w:pos="9072"/>
        </w:tabs>
        <w:spacing w:line="240" w:lineRule="auto"/>
        <w:jc w:val="right"/>
        <w:rPr>
          <w:sz w:val="20"/>
          <w:szCs w:val="20"/>
        </w:rPr>
      </w:pPr>
    </w:p>
    <w:p w:rsidR="00101B52" w:rsidRDefault="006645E7">
      <w:pPr>
        <w:tabs>
          <w:tab w:val="center" w:pos="4536"/>
          <w:tab w:val="right" w:pos="9072"/>
        </w:tabs>
        <w:spacing w:line="240" w:lineRule="auto"/>
        <w:jc w:val="right"/>
        <w:rPr>
          <w:sz w:val="18"/>
          <w:szCs w:val="18"/>
        </w:rPr>
      </w:pPr>
      <w:r>
        <w:rPr>
          <w:sz w:val="24"/>
          <w:szCs w:val="24"/>
        </w:rPr>
        <w:t>Study plan for PhD studies</w:t>
      </w:r>
    </w:p>
    <w:tbl>
      <w:tblPr>
        <w:tblStyle w:val="a"/>
        <w:tblW w:w="12945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1200"/>
        <w:gridCol w:w="3450"/>
        <w:gridCol w:w="2460"/>
        <w:gridCol w:w="1350"/>
        <w:gridCol w:w="1440"/>
        <w:gridCol w:w="855"/>
        <w:gridCol w:w="825"/>
        <w:gridCol w:w="1365"/>
      </w:tblGrid>
      <w:tr w:rsidR="00101B52">
        <w:trPr>
          <w:trHeight w:val="300"/>
          <w:jc w:val="center"/>
        </w:trPr>
        <w:tc>
          <w:tcPr>
            <w:tcW w:w="129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B52" w:rsidRDefault="006645E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Faculty of Philosophy</w:t>
            </w:r>
          </w:p>
        </w:tc>
      </w:tr>
      <w:tr w:rsidR="00101B52">
        <w:trPr>
          <w:trHeight w:val="300"/>
          <w:jc w:val="center"/>
        </w:trPr>
        <w:tc>
          <w:tcPr>
            <w:tcW w:w="129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B52" w:rsidRDefault="006645E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Third-cycle studies (PhD)</w:t>
            </w:r>
          </w:p>
        </w:tc>
      </w:tr>
      <w:tr w:rsidR="00101B52">
        <w:trPr>
          <w:trHeight w:val="300"/>
          <w:jc w:val="center"/>
        </w:trPr>
        <w:tc>
          <w:tcPr>
            <w:tcW w:w="129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B52" w:rsidRDefault="006645E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Field of social sciences, psychology and field of humanities, philosophy</w:t>
            </w:r>
          </w:p>
        </w:tc>
      </w:tr>
      <w:tr w:rsidR="00101B52">
        <w:trPr>
          <w:trHeight w:val="300"/>
          <w:jc w:val="center"/>
        </w:trPr>
        <w:tc>
          <w:tcPr>
            <w:tcW w:w="129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B52" w:rsidRDefault="006645E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Detailed plan of studies, approved by the Board of Faculty of Philosophy at</w:t>
            </w:r>
            <w:r>
              <w:rPr>
                <w:b/>
                <w:sz w:val="24"/>
                <w:szCs w:val="24"/>
              </w:rPr>
              <w:t xml:space="preserve"> the </w:t>
            </w:r>
            <w:proofErr w:type="spellStart"/>
            <w:r>
              <w:rPr>
                <w:b/>
                <w:sz w:val="24"/>
                <w:szCs w:val="24"/>
              </w:rPr>
              <w:t>Jagiellonian</w:t>
            </w:r>
            <w:proofErr w:type="spellEnd"/>
            <w:r>
              <w:rPr>
                <w:b/>
                <w:sz w:val="24"/>
                <w:szCs w:val="24"/>
              </w:rPr>
              <w:t xml:space="preserve"> University on 18.01.2018</w:t>
            </w:r>
          </w:p>
        </w:tc>
      </w:tr>
      <w:tr w:rsidR="00101B52">
        <w:trPr>
          <w:trHeight w:val="680"/>
          <w:jc w:val="center"/>
        </w:trPr>
        <w:tc>
          <w:tcPr>
            <w:tcW w:w="12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B52" w:rsidRDefault="006645E7">
            <w:pPr>
              <w:spacing w:line="240" w:lineRule="auto"/>
              <w:ind w:right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code/</w:t>
            </w:r>
          </w:p>
          <w:p w:rsidR="00101B52" w:rsidRDefault="006645E7">
            <w:pPr>
              <w:spacing w:line="240" w:lineRule="auto"/>
              <w:ind w:right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level</w:t>
            </w:r>
          </w:p>
        </w:tc>
        <w:tc>
          <w:tcPr>
            <w:tcW w:w="34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B52" w:rsidRDefault="006645E7">
            <w:pPr>
              <w:spacing w:line="240" w:lineRule="auto"/>
              <w:ind w:right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title</w:t>
            </w:r>
          </w:p>
        </w:tc>
        <w:tc>
          <w:tcPr>
            <w:tcW w:w="2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B52" w:rsidRDefault="006645E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Type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B52" w:rsidRDefault="006645E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Planned semester</w:t>
            </w:r>
          </w:p>
          <w:p w:rsidR="00101B52" w:rsidRDefault="006645E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to VIII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B52" w:rsidRDefault="006645E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br/>
              <w:t>Planned Assessment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B52" w:rsidRDefault="006645E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Planned No. of hours</w:t>
            </w:r>
          </w:p>
        </w:tc>
        <w:tc>
          <w:tcPr>
            <w:tcW w:w="13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B52" w:rsidRDefault="006645E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Planned ECTS credits</w:t>
            </w:r>
          </w:p>
        </w:tc>
      </w:tr>
      <w:tr w:rsidR="00101B52">
        <w:trPr>
          <w:trHeight w:val="260"/>
          <w:jc w:val="center"/>
        </w:trPr>
        <w:tc>
          <w:tcPr>
            <w:tcW w:w="1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B52" w:rsidRDefault="00101B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3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B52" w:rsidRDefault="00101B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B52" w:rsidRDefault="00101B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B52" w:rsidRDefault="00101B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B52" w:rsidRDefault="00101B52">
            <w:pPr>
              <w:widowControl w:val="0"/>
              <w:rPr>
                <w:b/>
                <w:sz w:val="20"/>
                <w:szCs w:val="20"/>
              </w:rPr>
            </w:pPr>
          </w:p>
          <w:p w:rsidR="00101B52" w:rsidRDefault="00101B52">
            <w:pPr>
              <w:widowControl w:val="0"/>
              <w:rPr>
                <w:b/>
                <w:sz w:val="20"/>
                <w:szCs w:val="20"/>
              </w:rPr>
            </w:pPr>
          </w:p>
          <w:p w:rsidR="00101B52" w:rsidRDefault="00101B52">
            <w:pPr>
              <w:widowControl w:val="0"/>
              <w:rPr>
                <w:b/>
                <w:sz w:val="20"/>
                <w:szCs w:val="20"/>
              </w:rPr>
            </w:pPr>
          </w:p>
          <w:p w:rsidR="00101B52" w:rsidRDefault="00101B52">
            <w:pPr>
              <w:widowControl w:val="0"/>
              <w:rPr>
                <w:b/>
                <w:sz w:val="20"/>
                <w:szCs w:val="20"/>
              </w:rPr>
            </w:pPr>
          </w:p>
          <w:p w:rsidR="00101B52" w:rsidRDefault="00101B52">
            <w:pPr>
              <w:widowControl w:val="0"/>
              <w:rPr>
                <w:b/>
                <w:sz w:val="20"/>
                <w:szCs w:val="20"/>
              </w:rPr>
            </w:pPr>
          </w:p>
          <w:p w:rsidR="00101B52" w:rsidRDefault="00101B52">
            <w:pPr>
              <w:widowControl w:val="0"/>
              <w:rPr>
                <w:b/>
                <w:sz w:val="20"/>
                <w:szCs w:val="20"/>
              </w:rPr>
            </w:pPr>
          </w:p>
          <w:p w:rsidR="00101B52" w:rsidRDefault="00101B52">
            <w:pPr>
              <w:widowControl w:val="0"/>
              <w:rPr>
                <w:b/>
                <w:sz w:val="20"/>
                <w:szCs w:val="20"/>
              </w:rPr>
            </w:pPr>
          </w:p>
          <w:p w:rsidR="00101B52" w:rsidRDefault="00101B52">
            <w:pPr>
              <w:widowControl w:val="0"/>
              <w:rPr>
                <w:b/>
                <w:sz w:val="20"/>
                <w:szCs w:val="20"/>
              </w:rPr>
            </w:pPr>
          </w:p>
          <w:p w:rsidR="00101B52" w:rsidRDefault="00101B52">
            <w:pPr>
              <w:spacing w:line="240" w:lineRule="auto"/>
              <w:rPr>
                <w:b/>
                <w:sz w:val="20"/>
                <w:szCs w:val="20"/>
              </w:rPr>
            </w:pPr>
          </w:p>
          <w:p w:rsidR="00101B52" w:rsidRDefault="00101B52">
            <w:pPr>
              <w:spacing w:line="240" w:lineRule="auto"/>
              <w:rPr>
                <w:b/>
                <w:sz w:val="20"/>
                <w:szCs w:val="20"/>
              </w:rPr>
            </w:pPr>
          </w:p>
          <w:p w:rsidR="00101B52" w:rsidRDefault="00101B52">
            <w:pPr>
              <w:spacing w:line="240" w:lineRule="auto"/>
              <w:rPr>
                <w:b/>
                <w:sz w:val="20"/>
                <w:szCs w:val="20"/>
              </w:rPr>
            </w:pPr>
          </w:p>
          <w:p w:rsidR="00101B52" w:rsidRDefault="00101B52">
            <w:pPr>
              <w:spacing w:line="240" w:lineRule="auto"/>
              <w:rPr>
                <w:b/>
                <w:sz w:val="20"/>
                <w:szCs w:val="20"/>
              </w:rPr>
            </w:pPr>
          </w:p>
          <w:p w:rsidR="00101B52" w:rsidRDefault="00101B52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B52" w:rsidRDefault="006645E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winter semester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B52" w:rsidRDefault="006645E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summer semester</w:t>
            </w:r>
          </w:p>
        </w:tc>
        <w:tc>
          <w:tcPr>
            <w:tcW w:w="13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B52" w:rsidRDefault="00101B52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101B52">
        <w:trPr>
          <w:trHeight w:val="280"/>
          <w:jc w:val="center"/>
        </w:trPr>
        <w:tc>
          <w:tcPr>
            <w:tcW w:w="1294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AD3"/>
            <w:vAlign w:val="center"/>
          </w:tcPr>
          <w:p w:rsidR="00101B52" w:rsidRDefault="006645E7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 Obligatory 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101B52">
        <w:trPr>
          <w:trHeight w:val="280"/>
          <w:jc w:val="center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B52" w:rsidRDefault="006645E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1B52" w:rsidRDefault="006645E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consultations with the supervisor associated with the preparation of a doctoral dissertation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B52" w:rsidRDefault="006645E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consultation with the supervisor associated with the preparation of a doctoral dissertation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B52" w:rsidRDefault="006645E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I-VIII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B52" w:rsidRDefault="006645E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Completion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B52" w:rsidRDefault="006645E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hours for the first year and 25 hours from the second to the fourth year (a total of 85)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B52" w:rsidRDefault="006645E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(1 per year)</w:t>
            </w:r>
          </w:p>
        </w:tc>
      </w:tr>
      <w:tr w:rsidR="00101B52">
        <w:trPr>
          <w:trHeight w:val="200"/>
          <w:jc w:val="center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B52" w:rsidRDefault="006645E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1B52" w:rsidRDefault="006645E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Foreign language course level min. C1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B52" w:rsidRDefault="006645E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language course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B52" w:rsidRDefault="006645E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I-IV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B52" w:rsidRDefault="006645E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B52" w:rsidRDefault="006645E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hours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B52" w:rsidRDefault="006645E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01B52">
        <w:trPr>
          <w:trHeight w:val="260"/>
          <w:jc w:val="center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B52" w:rsidRDefault="006645E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A2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1B52" w:rsidRDefault="006645E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Ethics of conducting scientific research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B52" w:rsidRDefault="006645E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seminar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B52" w:rsidRDefault="006645E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I-II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B52" w:rsidRDefault="006645E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Depends on the teacher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B52" w:rsidRDefault="006645E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hours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B52" w:rsidRDefault="006645E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01B52">
        <w:trPr>
          <w:trHeight w:val="260"/>
          <w:jc w:val="center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B52" w:rsidRDefault="006645E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A2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1B52" w:rsidRDefault="006645E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Thematic block on advanced data analysis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B52" w:rsidRDefault="006645E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seminar /classes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B52" w:rsidRDefault="006645E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B52" w:rsidRDefault="006645E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Depends on the teacher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B52" w:rsidRDefault="006645E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10-30 hours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B52" w:rsidRDefault="006645E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 least  2 </w:t>
            </w:r>
          </w:p>
        </w:tc>
      </w:tr>
      <w:tr w:rsidR="00101B52">
        <w:trPr>
          <w:trHeight w:val="260"/>
          <w:jc w:val="center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B52" w:rsidRDefault="006645E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A1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1B52" w:rsidRDefault="006645E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 and safety training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B52" w:rsidRDefault="006645E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e-learning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B52" w:rsidRDefault="006645E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B52" w:rsidRDefault="006645E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 evaluation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B52" w:rsidRDefault="006645E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B52" w:rsidRDefault="006645E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01B52">
        <w:trPr>
          <w:jc w:val="center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B52" w:rsidRDefault="006645E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B52" w:rsidRDefault="006645E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Preparation for the additional discipline exam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B52" w:rsidRDefault="006645E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seminar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B52" w:rsidRDefault="006645E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III-VIII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B52" w:rsidRDefault="006645E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Depends on the teacher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B52" w:rsidRDefault="006645E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hours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B52" w:rsidRDefault="006645E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01B52">
        <w:trPr>
          <w:trHeight w:val="260"/>
          <w:jc w:val="center"/>
        </w:trPr>
        <w:tc>
          <w:tcPr>
            <w:tcW w:w="129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vAlign w:val="center"/>
          </w:tcPr>
          <w:p w:rsidR="00101B52" w:rsidRDefault="006645E7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 Optional courses [at least 15 ECTS]</w:t>
            </w:r>
          </w:p>
        </w:tc>
      </w:tr>
      <w:tr w:rsidR="00101B52">
        <w:trPr>
          <w:trHeight w:val="300"/>
          <w:jc w:val="center"/>
        </w:trPr>
        <w:tc>
          <w:tcPr>
            <w:tcW w:w="1294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C5E8"/>
            <w:vAlign w:val="center"/>
          </w:tcPr>
          <w:p w:rsidR="00101B52" w:rsidRDefault="006645E7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Optional courses developing professional skills [at least 5 ECTS]</w:t>
            </w:r>
          </w:p>
        </w:tc>
      </w:tr>
      <w:tr w:rsidR="00101B52">
        <w:trPr>
          <w:trHeight w:val="260"/>
          <w:jc w:val="center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B52" w:rsidRDefault="006645E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A2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B52" w:rsidRDefault="006645E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Acquisition of research</w:t>
            </w:r>
          </w:p>
          <w:p w:rsidR="00101B52" w:rsidRDefault="006645E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funding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B52" w:rsidRDefault="006645E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seminar / classes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B52" w:rsidRDefault="006645E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I-VI.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B52" w:rsidRDefault="006645E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Depends on the teacher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B52" w:rsidRDefault="006645E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hours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B52" w:rsidRDefault="006645E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01B52">
        <w:trPr>
          <w:trHeight w:val="260"/>
          <w:jc w:val="center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B52" w:rsidRDefault="006645E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A2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1B52" w:rsidRDefault="006645E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legal and practical basis of </w:t>
            </w:r>
            <w:r>
              <w:rPr>
                <w:sz w:val="20"/>
                <w:szCs w:val="20"/>
              </w:rPr>
              <w:lastRenderedPageBreak/>
              <w:t>business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B52" w:rsidRDefault="006645E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lecture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B52" w:rsidRDefault="006645E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I-VIII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B52" w:rsidRDefault="006645E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Depends on </w:t>
            </w:r>
            <w:r>
              <w:rPr>
                <w:sz w:val="20"/>
                <w:szCs w:val="20"/>
              </w:rPr>
              <w:lastRenderedPageBreak/>
              <w:t>the teacher: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B52" w:rsidRDefault="006645E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 hours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B52" w:rsidRDefault="006645E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01B52">
        <w:trPr>
          <w:trHeight w:val="260"/>
          <w:jc w:val="center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B52" w:rsidRDefault="006645E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A2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B52" w:rsidRDefault="006645E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Scientific writing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B52" w:rsidRDefault="006645E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seminar / classes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B52" w:rsidRDefault="006645E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I-VI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B52" w:rsidRDefault="006645E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Depends on the teacher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B52" w:rsidRDefault="006645E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10-30 hours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B52" w:rsidRDefault="006645E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</w:t>
            </w:r>
          </w:p>
        </w:tc>
      </w:tr>
      <w:tr w:rsidR="00101B52">
        <w:trPr>
          <w:trHeight w:val="260"/>
          <w:jc w:val="center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B52" w:rsidRDefault="006645E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B52" w:rsidRDefault="006645E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Laboratory study visits (internships)**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B52" w:rsidRDefault="006645E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laboratories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B52" w:rsidRDefault="006645E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III-VIII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B52" w:rsidRDefault="006645E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Depends on the teacher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B52" w:rsidRDefault="006645E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30-60 hours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B52" w:rsidRDefault="006645E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</w:t>
            </w:r>
          </w:p>
        </w:tc>
      </w:tr>
      <w:tr w:rsidR="00101B52">
        <w:trPr>
          <w:trHeight w:val="260"/>
          <w:jc w:val="center"/>
        </w:trPr>
        <w:tc>
          <w:tcPr>
            <w:tcW w:w="1294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C5E8"/>
            <w:vAlign w:val="center"/>
          </w:tcPr>
          <w:p w:rsidR="00101B52" w:rsidRDefault="006645E7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2.2 Optional courses developing teaching skills [at least 5 ECTS]</w:t>
            </w:r>
          </w:p>
        </w:tc>
      </w:tr>
      <w:tr w:rsidR="00101B52">
        <w:trPr>
          <w:trHeight w:val="260"/>
          <w:jc w:val="center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B52" w:rsidRDefault="006645E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A1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1B52" w:rsidRDefault="006645E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Introduction to e-learning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B52" w:rsidRDefault="006645E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e-learning +</w:t>
            </w:r>
          </w:p>
          <w:p w:rsidR="00101B52" w:rsidRDefault="006645E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individual</w:t>
            </w:r>
          </w:p>
          <w:p w:rsidR="00101B52" w:rsidRDefault="006645E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consultations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B52" w:rsidRDefault="006645E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I-VIII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B52" w:rsidRDefault="006645E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Depends on the teacher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B52" w:rsidRDefault="006645E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hours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B52" w:rsidRDefault="006645E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01B52">
        <w:trPr>
          <w:trHeight w:val="420"/>
          <w:jc w:val="center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B52" w:rsidRDefault="006645E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A1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1B52" w:rsidRDefault="006645E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Scientific presentations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B52" w:rsidRDefault="006645E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seminar / classes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B52" w:rsidRDefault="006645E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I-IV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B52" w:rsidRDefault="006645E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Depends on the teacher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B52" w:rsidRDefault="006645E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10-30 hours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B52" w:rsidRDefault="006645E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01B52">
        <w:trPr>
          <w:trHeight w:val="260"/>
          <w:jc w:val="center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B52" w:rsidRDefault="006645E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A1.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1B52" w:rsidRDefault="006645E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Introduction to teaching at academia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B52" w:rsidRDefault="006645E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seminar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B52" w:rsidRDefault="006645E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I-IV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B52" w:rsidRDefault="006645E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Depends on the teacher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B52" w:rsidRDefault="006645E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hours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B52" w:rsidRDefault="006645E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01B52">
        <w:trPr>
          <w:trHeight w:val="240"/>
          <w:jc w:val="center"/>
        </w:trPr>
        <w:tc>
          <w:tcPr>
            <w:tcW w:w="1294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C5E8"/>
            <w:vAlign w:val="center"/>
          </w:tcPr>
          <w:p w:rsidR="00101B52" w:rsidRDefault="006645E7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2.3 Other optional courses*</w:t>
            </w:r>
          </w:p>
        </w:tc>
      </w:tr>
      <w:tr w:rsidR="00101B52">
        <w:trPr>
          <w:trHeight w:val="540"/>
          <w:jc w:val="center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B52" w:rsidRDefault="006645E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B52" w:rsidRDefault="006645E7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Thematic block on</w:t>
            </w:r>
            <w:r>
              <w:rPr>
                <w:b/>
                <w:sz w:val="20"/>
                <w:szCs w:val="20"/>
              </w:rPr>
              <w:t xml:space="preserve"> biological foundations of neuroscience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B52" w:rsidRDefault="006645E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Depends on the teacher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B52" w:rsidRDefault="006645E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I-VI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B52" w:rsidRDefault="006645E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Depends on the teacher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B52" w:rsidRDefault="006645E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10-30 hours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B52" w:rsidRDefault="006645E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 / course</w:t>
            </w:r>
          </w:p>
        </w:tc>
      </w:tr>
      <w:tr w:rsidR="00101B52">
        <w:trPr>
          <w:trHeight w:val="180"/>
          <w:jc w:val="center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B52" w:rsidRDefault="006645E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B52" w:rsidRDefault="006645E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Thematic block on </w:t>
            </w:r>
            <w:r>
              <w:rPr>
                <w:b/>
                <w:sz w:val="20"/>
                <w:szCs w:val="20"/>
              </w:rPr>
              <w:t>social neuroscience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B52" w:rsidRDefault="006645E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Depends on the teacher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B52" w:rsidRDefault="006645E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I-VI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B52" w:rsidRDefault="006645E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Depends on the teacher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B52" w:rsidRDefault="006645E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10-30 hours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B52" w:rsidRDefault="006645E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  / course</w:t>
            </w:r>
          </w:p>
        </w:tc>
      </w:tr>
      <w:tr w:rsidR="00101B52">
        <w:trPr>
          <w:trHeight w:val="280"/>
          <w:jc w:val="center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B52" w:rsidRDefault="006645E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B52" w:rsidRDefault="006645E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Thematic block on </w:t>
            </w:r>
            <w:r>
              <w:rPr>
                <w:b/>
                <w:sz w:val="20"/>
                <w:szCs w:val="20"/>
              </w:rPr>
              <w:t>neurolinguistics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B52" w:rsidRDefault="006645E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Depends on the teacher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B52" w:rsidRDefault="006645E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I-VI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B52" w:rsidRDefault="006645E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Depends on the teacher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B52" w:rsidRDefault="006645E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10-30 hours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B52" w:rsidRDefault="006645E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  / course</w:t>
            </w:r>
          </w:p>
        </w:tc>
      </w:tr>
      <w:tr w:rsidR="00101B52">
        <w:trPr>
          <w:trHeight w:val="280"/>
          <w:jc w:val="center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B52" w:rsidRDefault="006645E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B52" w:rsidRDefault="006645E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Thematic block on </w:t>
            </w:r>
            <w:r>
              <w:rPr>
                <w:b/>
                <w:sz w:val="20"/>
                <w:szCs w:val="20"/>
              </w:rPr>
              <w:t>perception and psychophysics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B52" w:rsidRDefault="006645E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Depends on the teacher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B52" w:rsidRDefault="006645E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I-VI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B52" w:rsidRDefault="006645E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Depends on the teacher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B52" w:rsidRDefault="006645E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10-30 hours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B52" w:rsidRDefault="006645E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  / course</w:t>
            </w:r>
          </w:p>
        </w:tc>
      </w:tr>
      <w:tr w:rsidR="00101B52">
        <w:trPr>
          <w:trHeight w:val="300"/>
          <w:jc w:val="center"/>
        </w:trPr>
        <w:tc>
          <w:tcPr>
            <w:tcW w:w="129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B52" w:rsidRDefault="006645E7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 Internships</w:t>
            </w:r>
          </w:p>
        </w:tc>
      </w:tr>
      <w:tr w:rsidR="00101B52">
        <w:trPr>
          <w:trHeight w:val="260"/>
          <w:jc w:val="center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B52" w:rsidRDefault="006645E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A1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B52" w:rsidRDefault="006645E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Didactic internship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B52" w:rsidRDefault="00101B5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B52" w:rsidRDefault="006645E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I-VIII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B52" w:rsidRDefault="00101B5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B52" w:rsidRDefault="006645E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hours annually (a total of 40 hours)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B52" w:rsidRDefault="006645E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01B52">
        <w:trPr>
          <w:trHeight w:val="820"/>
          <w:jc w:val="center"/>
        </w:trPr>
        <w:tc>
          <w:tcPr>
            <w:tcW w:w="1158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1B52" w:rsidRDefault="006645E7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Total number of ECTS points for compulsory </w:t>
            </w:r>
            <w:proofErr w:type="spellStart"/>
            <w:r>
              <w:rPr>
                <w:b/>
                <w:sz w:val="24"/>
                <w:szCs w:val="24"/>
              </w:rPr>
              <w:t>courses,optional</w:t>
            </w:r>
            <w:proofErr w:type="spellEnd"/>
            <w:r>
              <w:rPr>
                <w:b/>
                <w:sz w:val="24"/>
                <w:szCs w:val="24"/>
              </w:rPr>
              <w:t xml:space="preserve"> courses, and  professional internships 30-45.</w:t>
            </w:r>
          </w:p>
        </w:tc>
        <w:tc>
          <w:tcPr>
            <w:tcW w:w="136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B52" w:rsidRDefault="006645E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30 - 45</w:t>
            </w:r>
          </w:p>
        </w:tc>
      </w:tr>
      <w:tr w:rsidR="00101B52">
        <w:trPr>
          <w:trHeight w:val="320"/>
          <w:jc w:val="center"/>
        </w:trPr>
        <w:tc>
          <w:tcPr>
            <w:tcW w:w="12945" w:type="dxa"/>
            <w:gridSpan w:val="8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1B52" w:rsidRDefault="00101B52">
            <w:pPr>
              <w:spacing w:after="100"/>
              <w:jc w:val="both"/>
              <w:rPr>
                <w:sz w:val="24"/>
                <w:szCs w:val="24"/>
              </w:rPr>
            </w:pPr>
          </w:p>
          <w:p w:rsidR="00101B52" w:rsidRDefault="00101B52">
            <w:pPr>
              <w:spacing w:after="100"/>
              <w:jc w:val="both"/>
              <w:rPr>
                <w:sz w:val="24"/>
                <w:szCs w:val="24"/>
              </w:rPr>
            </w:pPr>
          </w:p>
          <w:p w:rsidR="00101B52" w:rsidRDefault="00101B52">
            <w:pPr>
              <w:spacing w:after="100"/>
              <w:jc w:val="both"/>
              <w:rPr>
                <w:sz w:val="24"/>
                <w:szCs w:val="24"/>
              </w:rPr>
            </w:pPr>
          </w:p>
          <w:p w:rsidR="00101B52" w:rsidRDefault="006645E7">
            <w:pPr>
              <w:spacing w:after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Conditions for completion of the consecutive years of studies: </w:t>
            </w:r>
          </w:p>
          <w:p w:rsidR="00101B52" w:rsidRDefault="006645E7">
            <w:pPr>
              <w:spacing w:line="240" w:lineRule="auto"/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year 1 – obtaining at least </w:t>
            </w:r>
            <w:r>
              <w:rPr>
                <w:b/>
                <w:sz w:val="24"/>
                <w:szCs w:val="24"/>
              </w:rPr>
              <w:t>10 ECTS</w:t>
            </w:r>
            <w:r>
              <w:rPr>
                <w:sz w:val="24"/>
                <w:szCs w:val="24"/>
              </w:rPr>
              <w:t xml:space="preserve"> credits, including at least 1 ECTS credit for didactic internships, passing </w:t>
            </w:r>
            <w:r>
              <w:rPr>
                <w:sz w:val="24"/>
                <w:szCs w:val="24"/>
              </w:rPr>
              <w:lastRenderedPageBreak/>
              <w:t xml:space="preserve">obligatory </w:t>
            </w:r>
            <w:r>
              <w:rPr>
                <w:b/>
                <w:sz w:val="24"/>
                <w:szCs w:val="24"/>
              </w:rPr>
              <w:t>Ethics course</w:t>
            </w:r>
            <w:r>
              <w:rPr>
                <w:sz w:val="24"/>
                <w:szCs w:val="24"/>
              </w:rPr>
              <w:t xml:space="preserve"> and courses from the specialist block dedicated to </w:t>
            </w:r>
            <w:r>
              <w:rPr>
                <w:b/>
                <w:sz w:val="24"/>
                <w:szCs w:val="24"/>
              </w:rPr>
              <w:t>adva</w:t>
            </w:r>
            <w:r>
              <w:rPr>
                <w:b/>
                <w:sz w:val="24"/>
                <w:szCs w:val="24"/>
              </w:rPr>
              <w:t>nced data analysis</w:t>
            </w:r>
            <w:r>
              <w:rPr>
                <w:sz w:val="24"/>
                <w:szCs w:val="24"/>
              </w:rPr>
              <w:t>, preparation, in cooperation with the scientific supervisor, and approval of the Individual Research Program by the JU Board of Faculty of Philosophy;</w:t>
            </w:r>
          </w:p>
          <w:p w:rsidR="00101B52" w:rsidRDefault="00101B52">
            <w:pPr>
              <w:spacing w:line="240" w:lineRule="auto"/>
              <w:ind w:left="720"/>
              <w:jc w:val="both"/>
              <w:rPr>
                <w:sz w:val="24"/>
                <w:szCs w:val="24"/>
              </w:rPr>
            </w:pPr>
          </w:p>
          <w:p w:rsidR="00101B52" w:rsidRDefault="006645E7">
            <w:pPr>
              <w:spacing w:line="240" w:lineRule="auto"/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year 2 – obtaining the total of at least </w:t>
            </w:r>
            <w:r>
              <w:rPr>
                <w:b/>
                <w:sz w:val="24"/>
                <w:szCs w:val="24"/>
              </w:rPr>
              <w:t>20 ECTS</w:t>
            </w:r>
            <w:r>
              <w:rPr>
                <w:sz w:val="24"/>
                <w:szCs w:val="24"/>
              </w:rPr>
              <w:t xml:space="preserve"> credits from the beginning of studie</w:t>
            </w:r>
            <w:r>
              <w:rPr>
                <w:sz w:val="24"/>
                <w:szCs w:val="24"/>
              </w:rPr>
              <w:t>s, including at least 2 credits for didactic internships, preparation, in cooperation with the scientific supervisor, and approval of the Individual Research Program by the JU Board of Faculty of Philosophy;</w:t>
            </w:r>
          </w:p>
          <w:p w:rsidR="00101B52" w:rsidRDefault="00101B52">
            <w:pPr>
              <w:spacing w:line="240" w:lineRule="auto"/>
              <w:ind w:left="720"/>
              <w:jc w:val="both"/>
              <w:rPr>
                <w:sz w:val="24"/>
                <w:szCs w:val="24"/>
              </w:rPr>
            </w:pPr>
          </w:p>
          <w:p w:rsidR="00101B52" w:rsidRDefault="006645E7">
            <w:pPr>
              <w:spacing w:line="240" w:lineRule="auto"/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year 3 – obtaining the total of at least </w:t>
            </w:r>
            <w:r>
              <w:rPr>
                <w:b/>
                <w:sz w:val="24"/>
                <w:szCs w:val="24"/>
              </w:rPr>
              <w:t>30 ECT</w:t>
            </w:r>
            <w:r>
              <w:rPr>
                <w:b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credits from the beginning of studies, including at least 3 credits for didactic internships, preparation, review and acceptance of proposed doctoral thesis, preparation, in cooperation with the scientific supervisor and approval of the Individual Resear</w:t>
            </w:r>
            <w:r>
              <w:rPr>
                <w:sz w:val="24"/>
                <w:szCs w:val="24"/>
              </w:rPr>
              <w:t>ch Program by the JU Board of Faculty of Philosophy;</w:t>
            </w:r>
          </w:p>
          <w:p w:rsidR="00101B52" w:rsidRDefault="00101B52">
            <w:pPr>
              <w:spacing w:line="240" w:lineRule="auto"/>
              <w:ind w:left="720"/>
              <w:jc w:val="both"/>
              <w:rPr>
                <w:sz w:val="24"/>
                <w:szCs w:val="24"/>
              </w:rPr>
            </w:pPr>
          </w:p>
          <w:p w:rsidR="00101B52" w:rsidRDefault="006645E7">
            <w:pPr>
              <w:spacing w:line="240" w:lineRule="auto"/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year 4 – obtaining the total of at least </w:t>
            </w:r>
            <w:r>
              <w:rPr>
                <w:b/>
                <w:sz w:val="24"/>
                <w:szCs w:val="24"/>
              </w:rPr>
              <w:t>40 ECTS</w:t>
            </w:r>
            <w:r>
              <w:rPr>
                <w:sz w:val="24"/>
                <w:szCs w:val="24"/>
              </w:rPr>
              <w:t xml:space="preserve"> credits from the beginning of studies, including at least 4 credits for didactic internships, preparation, in cooperation with the scientific supervisor,</w:t>
            </w:r>
            <w:r>
              <w:rPr>
                <w:sz w:val="24"/>
                <w:szCs w:val="24"/>
              </w:rPr>
              <w:t xml:space="preserve"> and approval of the Individual Research Program by the JU Board of Faculty of Philosophy,</w:t>
            </w:r>
            <w:r>
              <w:rPr>
                <w:b/>
                <w:sz w:val="24"/>
                <w:szCs w:val="24"/>
                <w:u w:val="single"/>
              </w:rPr>
              <w:t xml:space="preserve"> being awarded the PhD degree</w:t>
            </w:r>
            <w:r>
              <w:rPr>
                <w:sz w:val="24"/>
                <w:szCs w:val="24"/>
              </w:rPr>
              <w:t xml:space="preserve"> in the field of social sciences, in the scope of psychology or in the field of humanities in the scope of philosophy.</w:t>
            </w:r>
          </w:p>
          <w:p w:rsidR="00101B52" w:rsidRDefault="00101B52">
            <w:pPr>
              <w:spacing w:line="240" w:lineRule="auto"/>
              <w:rPr>
                <w:sz w:val="24"/>
                <w:szCs w:val="24"/>
              </w:rPr>
            </w:pPr>
          </w:p>
          <w:p w:rsidR="00101B52" w:rsidRDefault="00101B52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101B52">
        <w:trPr>
          <w:trHeight w:val="280"/>
          <w:jc w:val="center"/>
        </w:trPr>
        <w:tc>
          <w:tcPr>
            <w:tcW w:w="129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1B52" w:rsidRDefault="006645E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* E.g. methodological seminar, lecture related to a given discipline of knowledge, guest lecture, monographic lecture, etc.</w:t>
            </w:r>
          </w:p>
        </w:tc>
      </w:tr>
      <w:tr w:rsidR="00101B52">
        <w:trPr>
          <w:trHeight w:val="280"/>
          <w:jc w:val="center"/>
        </w:trPr>
        <w:tc>
          <w:tcPr>
            <w:tcW w:w="129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1B52" w:rsidRDefault="006645E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 Qualification for foreign internships will be subjected to the competition procedure.</w:t>
            </w:r>
          </w:p>
        </w:tc>
      </w:tr>
    </w:tbl>
    <w:p w:rsidR="00101B52" w:rsidRDefault="00101B52">
      <w:pPr>
        <w:rPr>
          <w:b/>
        </w:rPr>
      </w:pPr>
    </w:p>
    <w:p w:rsidR="00101B52" w:rsidRDefault="00101B52">
      <w:pPr>
        <w:rPr>
          <w:b/>
        </w:rPr>
      </w:pPr>
    </w:p>
    <w:p w:rsidR="00101B52" w:rsidRDefault="00101B5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</w:rPr>
        <w:sectPr w:rsidR="00101B52">
          <w:pgSz w:w="15840" w:h="12240"/>
          <w:pgMar w:top="1440" w:right="1440" w:bottom="1440" w:left="1440" w:header="360" w:footer="708" w:gutter="0"/>
          <w:pgNumType w:start="1"/>
          <w:cols w:space="720"/>
        </w:sectPr>
      </w:pPr>
    </w:p>
    <w:p w:rsidR="00101B52" w:rsidRDefault="00101B52"/>
    <w:sectPr w:rsidR="00101B52">
      <w:type w:val="continuous"/>
      <w:pgSz w:w="15840" w:h="12240"/>
      <w:pgMar w:top="1440" w:right="1440" w:bottom="1440" w:left="1440" w:header="360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compatSetting w:name="compatibilityMode" w:uri="http://schemas.microsoft.com/office/word" w:val="14"/>
  </w:compat>
  <w:rsids>
    <w:rsidRoot w:val="00101B52"/>
    <w:rsid w:val="00101B52"/>
    <w:rsid w:val="0066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upkuniec</dc:creator>
  <cp:lastModifiedBy>upkuniec</cp:lastModifiedBy>
  <cp:revision>2</cp:revision>
  <dcterms:created xsi:type="dcterms:W3CDTF">2019-01-08T11:18:00Z</dcterms:created>
  <dcterms:modified xsi:type="dcterms:W3CDTF">2019-01-08T11:18:00Z</dcterms:modified>
</cp:coreProperties>
</file>